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7" w:rsidRDefault="00421457">
      <w:r>
        <w:t>Les constats 9 à 14 du colloque saumon et foresterie sont en lien avec la voirie forestière. Le</w:t>
      </w:r>
      <w:r w:rsidR="00F028CA">
        <w:t>s solutions proposées permettent d’adresser plusieurs éléments contenus dans ces constats</w:t>
      </w:r>
    </w:p>
    <w:p w:rsidR="00421457" w:rsidRDefault="00421457"/>
    <w:p w:rsidR="00391F71" w:rsidRDefault="00421457">
      <w:r>
        <w:t>Fermeture de chemins existants</w:t>
      </w:r>
    </w:p>
    <w:p w:rsidR="00421457" w:rsidRDefault="00421457" w:rsidP="00421457">
      <w:pPr>
        <w:pStyle w:val="Paragraphedeliste"/>
        <w:numPr>
          <w:ilvl w:val="0"/>
          <w:numId w:val="1"/>
        </w:numPr>
      </w:pPr>
      <w:r>
        <w:t>Constat 9 : réduire le nombre d’infrastructures désuètes</w:t>
      </w:r>
    </w:p>
    <w:p w:rsidR="00421457" w:rsidRDefault="00421457" w:rsidP="00421457">
      <w:pPr>
        <w:pStyle w:val="Paragraphedeliste"/>
        <w:numPr>
          <w:ilvl w:val="0"/>
          <w:numId w:val="1"/>
        </w:numPr>
      </w:pPr>
      <w:r>
        <w:t>Constat 12 : la fermeture de chemins doit faire partie de la solution</w:t>
      </w:r>
    </w:p>
    <w:p w:rsidR="00421457" w:rsidRDefault="00421457" w:rsidP="00421457">
      <w:r>
        <w:t>Fermeture de nouveaux chemins</w:t>
      </w:r>
    </w:p>
    <w:p w:rsidR="00421457" w:rsidRDefault="00421457" w:rsidP="00421457">
      <w:pPr>
        <w:pStyle w:val="Paragraphedeliste"/>
        <w:numPr>
          <w:ilvl w:val="0"/>
          <w:numId w:val="1"/>
        </w:numPr>
      </w:pPr>
      <w:r>
        <w:t>Constat 9 : réduire le nombre de nouveaux chemins pour diminuer les besoins d’entretien futurs</w:t>
      </w:r>
    </w:p>
    <w:p w:rsidR="00421457" w:rsidRDefault="00421457" w:rsidP="00421457">
      <w:pPr>
        <w:pStyle w:val="Paragraphedeliste"/>
        <w:numPr>
          <w:ilvl w:val="0"/>
          <w:numId w:val="1"/>
        </w:numPr>
      </w:pPr>
      <w:r>
        <w:t>Constat 12 : l’utilisation de structures temporaires doit faire partie des moyens mis en œuvre</w:t>
      </w:r>
    </w:p>
    <w:p w:rsidR="00421457" w:rsidRDefault="00421457" w:rsidP="00421457">
      <w:r>
        <w:t>Retrait ou remplacement de traverses</w:t>
      </w:r>
      <w:r w:rsidR="00FC6AF8">
        <w:t xml:space="preserve"> de cours d’eau problématiques </w:t>
      </w:r>
      <w:r>
        <w:t xml:space="preserve">pour l’habitat aquatique : </w:t>
      </w:r>
    </w:p>
    <w:p w:rsidR="00421457" w:rsidRDefault="00421457" w:rsidP="00421457">
      <w:pPr>
        <w:pStyle w:val="Paragraphedeliste"/>
        <w:numPr>
          <w:ilvl w:val="0"/>
          <w:numId w:val="1"/>
        </w:numPr>
      </w:pPr>
      <w:r>
        <w:t>réduire le nombre d’infrastructures désuètes en les remplacer lorsqu’on doit maintenir l’accès</w:t>
      </w:r>
    </w:p>
    <w:p w:rsidR="00421457" w:rsidRDefault="00421457" w:rsidP="00421457">
      <w:r>
        <w:t>Utilisation de traverses de cours d’eau amovibles :</w:t>
      </w:r>
    </w:p>
    <w:p w:rsidR="00421457" w:rsidRDefault="00421457" w:rsidP="00421457">
      <w:pPr>
        <w:pStyle w:val="Paragraphedeliste"/>
        <w:numPr>
          <w:ilvl w:val="0"/>
          <w:numId w:val="1"/>
        </w:numPr>
      </w:pPr>
      <w:r>
        <w:t>Constat 1</w:t>
      </w:r>
      <w:bookmarkStart w:id="0" w:name="_GoBack"/>
      <w:bookmarkEnd w:id="0"/>
      <w:r>
        <w:t>2 : l’utilisation de structures temporaires doit faire partie des moyens mis en œuvre</w:t>
      </w:r>
    </w:p>
    <w:p w:rsidR="00421457" w:rsidRDefault="00421457" w:rsidP="00421457">
      <w:r>
        <w:t>Optimisation de la planification du réseau routier</w:t>
      </w:r>
    </w:p>
    <w:p w:rsidR="00421457" w:rsidRDefault="00421457" w:rsidP="00421457">
      <w:pPr>
        <w:pStyle w:val="Paragraphedeliste"/>
        <w:numPr>
          <w:ilvl w:val="0"/>
          <w:numId w:val="1"/>
        </w:numPr>
      </w:pPr>
      <w:r>
        <w:t>Constat 13 : Encadrer le suivi, l’entretien et le retrait des infrastructures de voirie</w:t>
      </w:r>
    </w:p>
    <w:p w:rsidR="00421457" w:rsidRDefault="00421457" w:rsidP="00421457">
      <w:pPr>
        <w:pStyle w:val="Paragraphedeliste"/>
        <w:ind w:left="1843"/>
      </w:pPr>
      <w:r>
        <w:t>Prendre en compte les besoins d’accès à long terme</w:t>
      </w:r>
    </w:p>
    <w:p w:rsidR="00421457" w:rsidRDefault="00421457" w:rsidP="00421457">
      <w:pPr>
        <w:pStyle w:val="Paragraphedeliste"/>
        <w:ind w:left="1843"/>
      </w:pPr>
      <w:r>
        <w:t>Planifier au-delà des besoins à court, moyens termes, soit au-delà de la sélection officielle des secteurs d’opération</w:t>
      </w:r>
    </w:p>
    <w:p w:rsidR="00421457" w:rsidRDefault="00421457" w:rsidP="00421457">
      <w:r>
        <w:t>Optimisation de l’entretien des chemins et des traverses de cours d’eau</w:t>
      </w:r>
    </w:p>
    <w:p w:rsidR="00421457" w:rsidRDefault="00421457" w:rsidP="00421457">
      <w:pPr>
        <w:pStyle w:val="Paragraphedeliste"/>
        <w:numPr>
          <w:ilvl w:val="0"/>
          <w:numId w:val="1"/>
        </w:numPr>
      </w:pPr>
      <w:r>
        <w:t>Constat 14 : formation du personnel responsable de l’entretien</w:t>
      </w:r>
    </w:p>
    <w:p w:rsidR="00421457" w:rsidRDefault="00421457" w:rsidP="00421457">
      <w:r>
        <w:t>Sensibilisation des utilisateurs aux enjeux de qualité de l’habitat aquatique et de fragmentation du couvert forestier</w:t>
      </w:r>
    </w:p>
    <w:p w:rsidR="00421457" w:rsidRDefault="00421457" w:rsidP="00421457">
      <w:pPr>
        <w:pStyle w:val="Paragraphedeliste"/>
        <w:numPr>
          <w:ilvl w:val="0"/>
          <w:numId w:val="1"/>
        </w:numPr>
      </w:pPr>
      <w:r>
        <w:t>?</w:t>
      </w:r>
    </w:p>
    <w:p w:rsidR="00421457" w:rsidRDefault="00421457" w:rsidP="00421457">
      <w:r>
        <w:t>Innovations en matière de traverses de cours d’eau</w:t>
      </w:r>
    </w:p>
    <w:p w:rsidR="00421457" w:rsidRDefault="00421457" w:rsidP="00421457">
      <w:pPr>
        <w:pStyle w:val="Paragraphedeliste"/>
        <w:numPr>
          <w:ilvl w:val="0"/>
          <w:numId w:val="1"/>
        </w:numPr>
      </w:pPr>
      <w:r>
        <w:t>Constat 12 : passages à gué aménagés</w:t>
      </w:r>
    </w:p>
    <w:p w:rsidR="008B4DB1" w:rsidRDefault="008B4DB1" w:rsidP="008B4DB1"/>
    <w:p w:rsidR="008B4DB1" w:rsidRDefault="008B4DB1" w:rsidP="008B4DB1"/>
    <w:p w:rsidR="008B4DB1" w:rsidRDefault="008B4DB1" w:rsidP="008B4DB1"/>
    <w:p w:rsidR="008B4DB1" w:rsidRDefault="008B4DB1" w:rsidP="008B4DB1"/>
    <w:p w:rsidR="008B4DB1" w:rsidRDefault="008B4DB1" w:rsidP="008B4DB1">
      <w:r>
        <w:lastRenderedPageBreak/>
        <w:t>Par ailleurs,</w:t>
      </w:r>
    </w:p>
    <w:p w:rsidR="008B4DB1" w:rsidRDefault="008B4DB1" w:rsidP="008B4DB1"/>
    <w:p w:rsidR="008B4DB1" w:rsidRDefault="008B4DB1" w:rsidP="008B4DB1">
      <w:r>
        <w:t>Le constat 10 ne se trouve pas dans le plan de gestion. Il se rapporte au financement et fera l’objet d’une réflexion qui devrait être partagée lors de la prochaine TGIRT.</w:t>
      </w:r>
    </w:p>
    <w:p w:rsidR="008B4DB1" w:rsidRDefault="008B4DB1" w:rsidP="008B4DB1">
      <w:r>
        <w:t>Le constat 11 se rapporte en grande partie à la plateforme de collecte d’informations sur l’état des infrastructures en cours d’élaboration</w:t>
      </w:r>
    </w:p>
    <w:p w:rsidR="008B4DB1" w:rsidRDefault="008B4DB1" w:rsidP="008B4DB1">
      <w:r>
        <w:t>Le constat 12 sur le choix d’infrastructures plus durables pour des chemins qu’on souhaite maintenir plusieurs décennies n’a pas été adressé dans le plan</w:t>
      </w:r>
    </w:p>
    <w:sectPr w:rsidR="008B4D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651"/>
    <w:multiLevelType w:val="hybridMultilevel"/>
    <w:tmpl w:val="6E005402"/>
    <w:lvl w:ilvl="0" w:tplc="87541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F"/>
    <w:rsid w:val="0029459F"/>
    <w:rsid w:val="00391F71"/>
    <w:rsid w:val="00421457"/>
    <w:rsid w:val="008B4DB1"/>
    <w:rsid w:val="00F028CA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900D5-4DC6-4E25-A3AF-8DC5CDB1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ET212A</dc:creator>
  <cp:keywords/>
  <dc:description/>
  <cp:lastModifiedBy>ET212A</cp:lastModifiedBy>
  <cp:revision>4</cp:revision>
  <dcterms:created xsi:type="dcterms:W3CDTF">2018-10-23T15:54:00Z</dcterms:created>
  <dcterms:modified xsi:type="dcterms:W3CDTF">2020-02-19T18:56:00Z</dcterms:modified>
</cp:coreProperties>
</file>